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b/>
          <w:bCs/>
          <w:color w:val="000000"/>
          <w:sz w:val="16"/>
        </w:rPr>
        <w:t>РОССИЙСКАЯ ФЕДЕРАЦИЯ</w:t>
      </w:r>
      <w:r w:rsidRPr="0086148B">
        <w:rPr>
          <w:rFonts w:ascii="Verdana" w:eastAsia="Times New Roman" w:hAnsi="Verdana" w:cs="Times New Roman"/>
          <w:b/>
          <w:bCs/>
          <w:color w:val="000000"/>
          <w:sz w:val="16"/>
          <w:szCs w:val="16"/>
        </w:rPr>
        <w:br/>
      </w:r>
      <w:r w:rsidRPr="0086148B">
        <w:rPr>
          <w:rFonts w:ascii="Verdana" w:eastAsia="Times New Roman" w:hAnsi="Verdana" w:cs="Times New Roman"/>
          <w:color w:val="000000"/>
          <w:sz w:val="16"/>
          <w:szCs w:val="16"/>
        </w:rPr>
        <w:t>Правительство Тульской области</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b/>
          <w:bCs/>
          <w:color w:val="000000"/>
          <w:sz w:val="16"/>
        </w:rPr>
        <w:t> </w:t>
      </w:r>
      <w:r w:rsidRPr="0086148B">
        <w:rPr>
          <w:rFonts w:ascii="Verdana" w:eastAsia="Times New Roman" w:hAnsi="Verdana" w:cs="Times New Roman"/>
          <w:color w:val="000000"/>
          <w:sz w:val="16"/>
          <w:szCs w:val="16"/>
        </w:rPr>
        <w:t>МИНИСТЕРСТВО</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СТРОИТЕЛЬСТВА И ЖИЛИЩНО-КОММУНАЛЬНОГО ХОЗЯЙСТВА ТУЛЬСКОЙ ОБЛАСТИ</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300041, г. Тула, пр. Ленина, 2                                  тел. 8(4872) 30-68-89, 24-53-71, факс 36-22-57</w:t>
      </w:r>
    </w:p>
    <w:p w:rsidR="0086148B" w:rsidRPr="0086148B" w:rsidRDefault="0086148B" w:rsidP="0086148B">
      <w:pPr>
        <w:shd w:val="clear" w:color="auto" w:fill="FFFFFF"/>
        <w:spacing w:after="133"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ПРИКАЗ</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«01» июля 2015 г.                                         № 66</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b/>
          <w:bCs/>
          <w:color w:val="000000"/>
          <w:sz w:val="16"/>
        </w:rPr>
        <w:t>О внесении изменений и дополнений в приказ министерства строительства и жилищно-коммунального хозяйства Тульской области от 07.10.2013 № 83 «Об установлении нормативов потребления коммунальной услуги по отоплению в жилых и нежилых помещениях в многоквартирных домах и жилых домах на территории Тульской области при отсутствии приборов учета»</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В соответствии с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постановлением правительства Тульской области от 24.07.2012 № 400 «Об определении уполномоченного органа исполнительной власти Тульской области по утверждению нормативов потребления коммунальных услуг» приказываю:</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 Внести в приказ министерства строительства и жилищно-коммунального хозяйства Тульской области от 07.10.2013 № 83 «Об установлении нормативов потребления коммунальной услуги по отоплению в жилых и нежилых помещениях в многоквартирных домах и жилых домах на территории Тульской области при отсутствии приборов учета» следующие изменения и дополнения:</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а)  пункт 1 приказа изложить в новой редакции:</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proofErr w:type="gramStart"/>
      <w:r w:rsidRPr="0086148B">
        <w:rPr>
          <w:rFonts w:ascii="Verdana" w:eastAsia="Times New Roman" w:hAnsi="Verdana" w:cs="Times New Roman"/>
          <w:color w:val="000000"/>
          <w:sz w:val="16"/>
          <w:szCs w:val="16"/>
        </w:rPr>
        <w:t>«Утвердить 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определенные с применением расчетного метода, при отсутствии технической возможности установки коллективных (общедомовых), приборов учета, подтвержденной актом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прибора учета (далее</w:t>
      </w:r>
      <w:proofErr w:type="gramEnd"/>
      <w:r w:rsidRPr="0086148B">
        <w:rPr>
          <w:rFonts w:ascii="Verdana" w:eastAsia="Times New Roman" w:hAnsi="Verdana" w:cs="Times New Roman"/>
          <w:color w:val="000000"/>
          <w:sz w:val="16"/>
          <w:szCs w:val="16"/>
        </w:rPr>
        <w:t xml:space="preserve"> - </w:t>
      </w:r>
      <w:proofErr w:type="gramStart"/>
      <w:r w:rsidRPr="0086148B">
        <w:rPr>
          <w:rFonts w:ascii="Verdana" w:eastAsia="Times New Roman" w:hAnsi="Verdana" w:cs="Times New Roman"/>
          <w:color w:val="000000"/>
          <w:sz w:val="16"/>
          <w:szCs w:val="16"/>
        </w:rPr>
        <w:t>акт обследования), составленного по форме, утвержденной приказом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lastRenderedPageBreak/>
        <w:t>технической возможности установки таких приборов учета и порядка ее заполнения» (далее - Приказ Министерства регионального развития Российской Федерации от 29.12.2011 № 627</w:t>
      </w:r>
      <w:proofErr w:type="gramEnd"/>
      <w:r w:rsidRPr="0086148B">
        <w:rPr>
          <w:rFonts w:ascii="Verdana" w:eastAsia="Times New Roman" w:hAnsi="Verdana" w:cs="Times New Roman"/>
          <w:color w:val="000000"/>
          <w:sz w:val="16"/>
          <w:szCs w:val="16"/>
        </w:rPr>
        <w:t>) (приложение № 1)»;</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б)         дополнить приказ пунктом 2 следующего содержания, соответственно изменив нумерацию пунктов:</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xml:space="preserve">«2. </w:t>
      </w:r>
      <w:proofErr w:type="gramStart"/>
      <w:r w:rsidRPr="0086148B">
        <w:rPr>
          <w:rFonts w:ascii="Verdana" w:eastAsia="Times New Roman" w:hAnsi="Verdana" w:cs="Times New Roman"/>
          <w:color w:val="000000"/>
          <w:sz w:val="16"/>
          <w:szCs w:val="16"/>
        </w:rPr>
        <w:t>Утвердить 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определенные с применением расчетного метода, с учетом повышающего коэффициента в размере 1,2, при наличии технической возможности установки коллективных (общедомовых) приборов учета, подтвержденной актом обследования, составленного по форме, утвержденной приказом Министерства регионального развития Российской</w:t>
      </w:r>
      <w:proofErr w:type="gramEnd"/>
      <w:r w:rsidRPr="0086148B">
        <w:rPr>
          <w:rFonts w:ascii="Verdana" w:eastAsia="Times New Roman" w:hAnsi="Verdana" w:cs="Times New Roman"/>
          <w:color w:val="000000"/>
          <w:sz w:val="16"/>
          <w:szCs w:val="16"/>
        </w:rPr>
        <w:t> Федерации от 29.12.2011 № 627 (приложение № 2.);</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в)  в приложении к приказу:</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слово «приложение» заменить текстом «приложение № 1»;</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наименование таблицы в приложении № 1 изложить в новой редакции: «Нормативы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при отсутствии технической возможности установки коллективных (общедомовых) приборов учета»;</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г)  приказ дополнить приложением № 2 к приказу (приложение).</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2.    Приказ  вступает в силу через десять дней после дня его официального опубликования.</w:t>
      </w:r>
    </w:p>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 Министр строительства и жилищно-коммунального хозяйства Тульской области                                    Э.В. Шевченко</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Приложение</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к приказу министерства строительства и</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жилищно-коммунального хозяйства</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Тульской области</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от 01 июля 2015 №66</w:t>
      </w:r>
    </w:p>
    <w:p w:rsidR="0086148B" w:rsidRPr="0086148B" w:rsidRDefault="0086148B" w:rsidP="0086148B">
      <w:pPr>
        <w:shd w:val="clear" w:color="auto" w:fill="FFFFFF"/>
        <w:spacing w:after="133"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Приложение №2</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к приказу министерства строительства</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и жилищно-коммунального хозяйства</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Тульской области</w:t>
      </w:r>
    </w:p>
    <w:p w:rsidR="0086148B" w:rsidRPr="0086148B" w:rsidRDefault="0086148B" w:rsidP="0086148B">
      <w:pPr>
        <w:shd w:val="clear" w:color="auto" w:fill="FFFFFF"/>
        <w:spacing w:after="0" w:line="360" w:lineRule="atLeast"/>
        <w:jc w:val="righ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от 7 октября 2013 года №_83</w:t>
      </w:r>
    </w:p>
    <w:p w:rsidR="0086148B" w:rsidRPr="0086148B" w:rsidRDefault="0086148B" w:rsidP="0086148B">
      <w:pPr>
        <w:shd w:val="clear" w:color="auto" w:fill="FFFFFF"/>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при наличии технической возможности установки коллективных (общедомовых) приборов учета с учетом повышающего коэффициента в размере 1,2</w:t>
      </w:r>
    </w:p>
    <w:p w:rsidR="0086148B" w:rsidRPr="0086148B" w:rsidRDefault="0086148B" w:rsidP="0086148B">
      <w:pPr>
        <w:shd w:val="clear" w:color="auto" w:fill="FFFFFF"/>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lastRenderedPageBreak/>
        <w:t> </w:t>
      </w:r>
    </w:p>
    <w:tbl>
      <w:tblPr>
        <w:tblW w:w="81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6"/>
        <w:gridCol w:w="1571"/>
        <w:gridCol w:w="4624"/>
      </w:tblGrid>
      <w:tr w:rsidR="0086148B" w:rsidRPr="0086148B" w:rsidTr="0086148B">
        <w:tc>
          <w:tcPr>
            <w:tcW w:w="1584" w:type="dxa"/>
            <w:vMerge w:val="restart"/>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Год постройки</w:t>
            </w:r>
            <w:r w:rsidRPr="0086148B">
              <w:rPr>
                <w:rFonts w:ascii="Verdana" w:eastAsia="Times New Roman" w:hAnsi="Verdana" w:cs="Times New Roman"/>
                <w:color w:val="545454"/>
                <w:sz w:val="16"/>
                <w:szCs w:val="16"/>
              </w:rPr>
              <w:br/>
            </w:r>
            <w:proofErr w:type="spellStart"/>
            <w:proofErr w:type="gramStart"/>
            <w:r w:rsidRPr="0086148B">
              <w:rPr>
                <w:rFonts w:ascii="Verdana" w:eastAsia="Times New Roman" w:hAnsi="Verdana" w:cs="Times New Roman"/>
                <w:color w:val="000000"/>
                <w:sz w:val="16"/>
                <w:szCs w:val="16"/>
              </w:rPr>
              <w:t>многоквартир</w:t>
            </w:r>
            <w:proofErr w:type="spellEnd"/>
            <w:r w:rsidRPr="0086148B">
              <w:rPr>
                <w:rFonts w:ascii="Verdana" w:eastAsia="Times New Roman" w:hAnsi="Verdana" w:cs="Times New Roman"/>
                <w:color w:val="545454"/>
                <w:sz w:val="16"/>
                <w:szCs w:val="16"/>
              </w:rPr>
              <w:br/>
            </w:r>
            <w:proofErr w:type="spellStart"/>
            <w:r w:rsidRPr="0086148B">
              <w:rPr>
                <w:rFonts w:ascii="Verdana" w:eastAsia="Times New Roman" w:hAnsi="Verdana" w:cs="Times New Roman"/>
                <w:color w:val="000000"/>
                <w:sz w:val="16"/>
                <w:szCs w:val="16"/>
              </w:rPr>
              <w:t>ного</w:t>
            </w:r>
            <w:proofErr w:type="spellEnd"/>
            <w:proofErr w:type="gramEnd"/>
            <w:r w:rsidRPr="0086148B">
              <w:rPr>
                <w:rFonts w:ascii="Verdana" w:eastAsia="Times New Roman" w:hAnsi="Verdana" w:cs="Times New Roman"/>
                <w:color w:val="000000"/>
                <w:sz w:val="16"/>
                <w:szCs w:val="16"/>
              </w:rPr>
              <w:t xml:space="preserve"> дома или</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жилого дома</w:t>
            </w:r>
          </w:p>
        </w:tc>
        <w:tc>
          <w:tcPr>
            <w:tcW w:w="1488" w:type="dxa"/>
            <w:vMerge w:val="restart"/>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Количество</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этажей</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Норматив потребления коммунальной</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услуги по отоплению, Гкал на 1 кв. м</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общей площади всех жилых и нежилых</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помещений в многоквартирном доме или</w:t>
            </w:r>
            <w:r w:rsidRPr="0086148B">
              <w:rPr>
                <w:rFonts w:ascii="Verdana" w:eastAsia="Times New Roman" w:hAnsi="Verdana" w:cs="Times New Roman"/>
                <w:color w:val="545454"/>
                <w:sz w:val="16"/>
                <w:szCs w:val="16"/>
              </w:rPr>
              <w:br/>
            </w:r>
            <w:r w:rsidRPr="0086148B">
              <w:rPr>
                <w:rFonts w:ascii="Verdana" w:eastAsia="Times New Roman" w:hAnsi="Verdana" w:cs="Times New Roman"/>
                <w:color w:val="000000"/>
                <w:sz w:val="16"/>
                <w:szCs w:val="16"/>
              </w:rPr>
              <w:t>жилого дома в месяц</w:t>
            </w:r>
          </w:p>
        </w:tc>
      </w:tr>
      <w:tr w:rsidR="0086148B" w:rsidRPr="0086148B" w:rsidTr="0086148B">
        <w:tc>
          <w:tcPr>
            <w:tcW w:w="1584" w:type="dxa"/>
            <w:vMerge w:val="restart"/>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до 1999 года постройки</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0,0340</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2</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0,0313</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3-4</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0,0314</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5-9</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0,0310</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10</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0,0276</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12</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0,0284</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13</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0,0300</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14</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0,0294</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16 и более</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0,0310</w:t>
            </w:r>
          </w:p>
        </w:tc>
      </w:tr>
      <w:tr w:rsidR="0086148B" w:rsidRPr="0086148B" w:rsidTr="0086148B">
        <w:tc>
          <w:tcPr>
            <w:tcW w:w="1584" w:type="dxa"/>
            <w:vMerge w:val="restart"/>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после 1999 года постройки</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p w:rsidR="0086148B" w:rsidRPr="0086148B" w:rsidRDefault="0086148B" w:rsidP="0086148B">
            <w:pPr>
              <w:spacing w:after="133"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545454"/>
                <w:sz w:val="16"/>
                <w:szCs w:val="16"/>
              </w:rPr>
              <w:t> </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0,0254</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2</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0,0216</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3</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0,0226</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4-5</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0,0162</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6-7</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0,0181</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8</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0,0144</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9</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0,0143</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10</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0,0134</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11</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0,0155</w:t>
            </w:r>
          </w:p>
        </w:tc>
      </w:tr>
      <w:tr w:rsidR="0086148B" w:rsidRPr="0086148B" w:rsidTr="0086148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148B" w:rsidRPr="0086148B" w:rsidRDefault="0086148B" w:rsidP="0086148B">
            <w:pPr>
              <w:spacing w:after="0" w:line="240" w:lineRule="auto"/>
              <w:rPr>
                <w:rFonts w:ascii="Verdana" w:eastAsia="Times New Roman" w:hAnsi="Verdana" w:cs="Times New Roman"/>
                <w:color w:val="545454"/>
                <w:sz w:val="16"/>
                <w:szCs w:val="16"/>
              </w:rPr>
            </w:pP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12 и более</w:t>
            </w:r>
          </w:p>
        </w:tc>
        <w:tc>
          <w:tcPr>
            <w:tcW w:w="4380" w:type="dxa"/>
            <w:tcBorders>
              <w:top w:val="outset" w:sz="6" w:space="0" w:color="auto"/>
              <w:left w:val="outset" w:sz="6" w:space="0" w:color="auto"/>
              <w:bottom w:val="outset" w:sz="6" w:space="0" w:color="auto"/>
              <w:right w:val="outset" w:sz="6" w:space="0" w:color="auto"/>
            </w:tcBorders>
            <w:shd w:val="clear" w:color="auto" w:fill="FFFFFF"/>
            <w:tcMar>
              <w:top w:w="53" w:type="dxa"/>
              <w:left w:w="67" w:type="dxa"/>
              <w:bottom w:w="53" w:type="dxa"/>
              <w:right w:w="67" w:type="dxa"/>
            </w:tcMar>
            <w:hideMark/>
          </w:tcPr>
          <w:p w:rsidR="0086148B" w:rsidRPr="0086148B" w:rsidRDefault="0086148B" w:rsidP="0086148B">
            <w:pPr>
              <w:spacing w:after="0" w:line="360" w:lineRule="atLeast"/>
              <w:jc w:val="center"/>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0,0133</w:t>
            </w:r>
          </w:p>
        </w:tc>
      </w:tr>
    </w:tbl>
    <w:p w:rsidR="0086148B" w:rsidRPr="0086148B" w:rsidRDefault="0086148B" w:rsidP="0086148B">
      <w:pPr>
        <w:shd w:val="clear" w:color="auto" w:fill="FFFFFF"/>
        <w:spacing w:after="0" w:line="360" w:lineRule="atLeast"/>
        <w:rPr>
          <w:rFonts w:ascii="Verdana" w:eastAsia="Times New Roman" w:hAnsi="Verdana" w:cs="Times New Roman"/>
          <w:color w:val="545454"/>
          <w:sz w:val="16"/>
          <w:szCs w:val="16"/>
        </w:rPr>
      </w:pPr>
      <w:r w:rsidRPr="0086148B">
        <w:rPr>
          <w:rFonts w:ascii="Verdana" w:eastAsia="Times New Roman" w:hAnsi="Verdana" w:cs="Times New Roman"/>
          <w:color w:val="000000"/>
          <w:sz w:val="16"/>
          <w:szCs w:val="16"/>
        </w:rPr>
        <w:t>Министр строительства и жилищно-коммунального хозяйства Тульской области           Э.В. Шевченко</w:t>
      </w:r>
    </w:p>
    <w:p w:rsidR="00D26385" w:rsidRDefault="00D26385"/>
    <w:sectPr w:rsidR="00D26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6148B"/>
    <w:rsid w:val="0086148B"/>
    <w:rsid w:val="00D2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6148B"/>
    <w:rPr>
      <w:b/>
      <w:bCs/>
    </w:rPr>
  </w:style>
  <w:style w:type="paragraph" w:customStyle="1" w:styleId="style3">
    <w:name w:val="style3"/>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861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889511">
      <w:bodyDiv w:val="1"/>
      <w:marLeft w:val="0"/>
      <w:marRight w:val="0"/>
      <w:marTop w:val="0"/>
      <w:marBottom w:val="0"/>
      <w:divBdr>
        <w:top w:val="none" w:sz="0" w:space="0" w:color="auto"/>
        <w:left w:val="none" w:sz="0" w:space="0" w:color="auto"/>
        <w:bottom w:val="none" w:sz="0" w:space="0" w:color="auto"/>
        <w:right w:val="none" w:sz="0" w:space="0" w:color="auto"/>
      </w:divBdr>
      <w:divsChild>
        <w:div w:id="1108429414">
          <w:marLeft w:val="0"/>
          <w:marRight w:val="0"/>
          <w:marTop w:val="0"/>
          <w:marBottom w:val="0"/>
          <w:divBdr>
            <w:top w:val="none" w:sz="0" w:space="0" w:color="auto"/>
            <w:left w:val="none" w:sz="0" w:space="0" w:color="auto"/>
            <w:bottom w:val="none" w:sz="0" w:space="0" w:color="auto"/>
            <w:right w:val="none" w:sz="0" w:space="0" w:color="auto"/>
          </w:divBdr>
        </w:div>
        <w:div w:id="1505782297">
          <w:marLeft w:val="0"/>
          <w:marRight w:val="0"/>
          <w:marTop w:val="0"/>
          <w:marBottom w:val="0"/>
          <w:divBdr>
            <w:top w:val="none" w:sz="0" w:space="0" w:color="auto"/>
            <w:left w:val="none" w:sz="0" w:space="0" w:color="auto"/>
            <w:bottom w:val="none" w:sz="0" w:space="0" w:color="auto"/>
            <w:right w:val="none" w:sz="0" w:space="0" w:color="auto"/>
          </w:divBdr>
        </w:div>
        <w:div w:id="153249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4423</Characters>
  <Application>Microsoft Office Word</Application>
  <DocSecurity>0</DocSecurity>
  <Lines>36</Lines>
  <Paragraphs>10</Paragraphs>
  <ScaleCrop>false</ScaleCrop>
  <Company>SPecialiST RePack</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2018-03-22T08:54:00Z</dcterms:created>
  <dcterms:modified xsi:type="dcterms:W3CDTF">2018-03-22T08:54:00Z</dcterms:modified>
</cp:coreProperties>
</file>